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THE CURRENT</w:t>
      </w:r>
    </w:p>
    <w:p>
      <w:pPr>
        <w:pStyle w:val="Title"/>
      </w:pPr>
      <w:r>
        <w:t>Brand Guidelines</w:t>
      </w:r>
    </w:p>
    <w:p>
      <w:r>
        <w:t>Voice, visual direction, editorial standards &amp; social publishing</w:t>
      </w:r>
    </w:p>
    <w:p>
      <w:r>
        <w:t>VERSION 1.0  |  OCTOBER 2026</w:t>
      </w:r>
    </w:p>
    <w:p>
      <w:r>
        <w:t>A practical working guide for The Current website, articles, newsletters, LinkedIn and SocialBee.</w:t>
      </w:r>
    </w:p>
    <w:p>
      <w:pPr>
        <w:pStyle w:val="Heading2"/>
      </w:pPr>
      <w:r>
        <w:t>BRAND IDEA</w:t>
      </w:r>
    </w:p>
    <w:p>
      <w:r>
        <w:t>Real electrical knowledge. Practical industry insight. Zero unnecessary jargon.</w:t>
      </w:r>
    </w:p>
    <w:p>
      <w:pPr>
        <w:pStyle w:val="Heading2"/>
      </w:pPr>
      <w:r>
        <w:t>BRAND SIGN-OFF</w:t>
      </w:r>
    </w:p>
    <w:p>
      <w:r>
        <w:t>Stay connected. Stay curious. Stay Current.</w:t>
      </w:r>
    </w:p>
    <w:p>
      <w:r>
        <w:br w:type="page"/>
      </w:r>
    </w:p>
    <w:p>
      <w:pPr>
        <w:pStyle w:val="Heading1"/>
      </w:pPr>
      <w:r>
        <w:t>01  Brand foundation</w:t>
      </w:r>
    </w:p>
    <w:p>
      <w:pPr>
        <w:pStyle w:val="Heading2"/>
      </w:pPr>
      <w:r>
        <w:t>Mission</w:t>
      </w:r>
    </w:p>
    <w:p>
      <w:r>
        <w:t>To connect, educate, and empower the electrical industry by making technical knowledge, emerging technologies, and industry insights accessible, practical, and engaging.</w:t>
      </w:r>
    </w:p>
    <w:p>
      <w:pPr>
        <w:pStyle w:val="Heading2"/>
      </w:pPr>
      <w:r>
        <w:t>Vision</w:t>
      </w:r>
    </w:p>
    <w:p>
      <w:r>
        <w:t>To become a trusted Canadian electrical industry resource where professionals and homeowners come to learn, discover, connect, and stay current.</w:t>
      </w:r>
    </w:p>
    <w:p>
      <w:pPr>
        <w:pStyle w:val="Heading2"/>
      </w:pPr>
      <w:r>
        <w:t>Positioning</w:t>
      </w:r>
    </w:p>
    <w:p>
      <w:r>
        <w:t>The Current bridges the gap between the jobsite, the design office, and the electrical distribution counter. We explain how electrical technology and industry developments affect the people who actually design, specify, install, supply, and use them.</w:t>
      </w:r>
    </w:p>
    <w:p>
      <w:pPr>
        <w:pStyle w:val="Heading2"/>
      </w:pPr>
      <w:r>
        <w:t>Brand promise</w:t>
      </w:r>
    </w:p>
    <w:p>
      <w:r>
        <w:t>Clear explanations, real-world relevance, honest product discussion, useful tools, and a sense of humour—without sacrificing accuracy.</w:t>
      </w:r>
    </w:p>
    <w:p>
      <w:pPr>
        <w:pStyle w:val="Heading2"/>
      </w:pPr>
      <w:r>
        <w:t>Personality</w:t>
      </w:r>
    </w:p>
    <w:p>
      <w:r>
        <w:t>The knowledgeable class clown: experienced, curious, candid, technically credible and approachable. Serious about electrical knowledge, not about being boring.</w:t>
      </w:r>
    </w:p>
    <w:p>
      <w:pPr>
        <w:pStyle w:val="Heading2"/>
      </w:pPr>
      <w:r>
        <w:t>Core values</w:t>
      </w:r>
    </w:p>
    <w:p>
      <w:pPr>
        <w:pStyle w:val="ListBullet"/>
      </w:pPr>
      <w:r>
        <w:t>Accuracy before cleverness</w:t>
      </w:r>
    </w:p>
    <w:p>
      <w:pPr>
        <w:pStyle w:val="ListBullet"/>
      </w:pPr>
      <w:r>
        <w:t>Practicality over hype</w:t>
      </w:r>
    </w:p>
    <w:p>
      <w:pPr>
        <w:pStyle w:val="ListBullet"/>
      </w:pPr>
      <w:r>
        <w:t>Curiosity and continuous learning</w:t>
      </w:r>
    </w:p>
    <w:p>
      <w:pPr>
        <w:pStyle w:val="ListBullet"/>
      </w:pPr>
      <w:r>
        <w:t>Respect for tradespeople and readers at every skill level</w:t>
      </w:r>
    </w:p>
    <w:p>
      <w:pPr>
        <w:pStyle w:val="ListBullet"/>
      </w:pPr>
      <w:r>
        <w:t>Independent, transparent commentary</w:t>
      </w:r>
    </w:p>
    <w:p>
      <w:pPr>
        <w:pStyle w:val="ListBullet"/>
      </w:pPr>
      <w:r>
        <w:t>Community and collaboration</w:t>
      </w:r>
    </w:p>
    <w:p>
      <w:pPr>
        <w:pStyle w:val="Heading1"/>
      </w:pPr>
      <w:r>
        <w:t>02  Audience</w:t>
      </w:r>
    </w:p>
    <w:tbl>
      <w:tblPr>
        <w:tblStyle w:val="LightShading-Accent1"/>
        <w:tblW w:type="auto" w:w="0"/>
        <w:tblLook w:firstColumn="1" w:firstRow="1" w:lastColumn="0" w:lastRow="0" w:noHBand="0" w:noVBand="1" w:val="04A0"/>
      </w:tblPr>
      <w:tblGrid>
        <w:gridCol w:w="4896"/>
        <w:gridCol w:w="4896"/>
      </w:tblGrid>
      <w:tr>
        <w:tc>
          <w:tcPr>
            <w:tcW w:type="dxa" w:w="4896"/>
          </w:tcPr>
          <w:p>
            <w:r>
              <w:t>Audience</w:t>
            </w:r>
          </w:p>
        </w:tc>
        <w:tc>
          <w:tcPr>
            <w:tcW w:type="dxa" w:w="4896"/>
          </w:tcPr>
          <w:p>
            <w:r>
              <w:t>Primary need</w:t>
            </w:r>
          </w:p>
        </w:tc>
      </w:tr>
      <w:tr>
        <w:tc>
          <w:tcPr>
            <w:tcW w:type="dxa" w:w="4896"/>
          </w:tcPr>
          <w:p>
            <w:r>
              <w:t>Electricians &amp; electrical contractors (primary)</w:t>
            </w:r>
          </w:p>
        </w:tc>
        <w:tc>
          <w:tcPr>
            <w:tcW w:type="dxa" w:w="4896"/>
          </w:tcPr>
          <w:p>
            <w:r>
              <w:t>Technical clarity, products, installation considerations, productivity</w:t>
            </w:r>
          </w:p>
        </w:tc>
      </w:tr>
      <w:tr>
        <w:tc>
          <w:tcPr>
            <w:tcW w:type="dxa" w:w="4896"/>
          </w:tcPr>
          <w:p>
            <w:r>
              <w:t>Builders, engineers &amp; project managers</w:t>
            </w:r>
          </w:p>
        </w:tc>
        <w:tc>
          <w:tcPr>
            <w:tcW w:type="dxa" w:w="4896"/>
          </w:tcPr>
          <w:p>
            <w:r>
              <w:t>Specification guidance, coordination, technology and project decisions</w:t>
            </w:r>
          </w:p>
        </w:tc>
      </w:tr>
      <w:tr>
        <w:tc>
          <w:tcPr>
            <w:tcW w:type="dxa" w:w="4896"/>
          </w:tcPr>
          <w:p>
            <w:r>
              <w:t>Electrical distribution &amp; sales professionals</w:t>
            </w:r>
          </w:p>
        </w:tc>
        <w:tc>
          <w:tcPr>
            <w:tcW w:type="dxa" w:w="4896"/>
          </w:tcPr>
          <w:p>
            <w:r>
              <w:t>Market developments, product knowledge, supply chain and sales insights</w:t>
            </w:r>
          </w:p>
        </w:tc>
      </w:tr>
      <w:tr>
        <w:tc>
          <w:tcPr>
            <w:tcW w:type="dxa" w:w="4896"/>
          </w:tcPr>
          <w:p>
            <w:r>
              <w:t>Homeowners &amp; renovators</w:t>
            </w:r>
          </w:p>
        </w:tc>
        <w:tc>
          <w:tcPr>
            <w:tcW w:type="dxa" w:w="4896"/>
          </w:tcPr>
          <w:p>
            <w:r>
              <w:t>Plain-language planning, safety awareness, qualified-pro guidance</w:t>
            </w:r>
          </w:p>
        </w:tc>
      </w:tr>
      <w:tr>
        <w:tc>
          <w:tcPr>
            <w:tcW w:type="dxa" w:w="4896"/>
          </w:tcPr>
          <w:p>
            <w:r>
              <w:t>Apprentices &amp; newcomers</w:t>
            </w:r>
          </w:p>
        </w:tc>
        <w:tc>
          <w:tcPr>
            <w:tcW w:type="dxa" w:w="4896"/>
          </w:tcPr>
          <w:p>
            <w:r>
              <w:t>Foundational explanations, vocabulary and career insight</w:t>
            </w:r>
          </w:p>
        </w:tc>
      </w:tr>
    </w:tbl>
    <w:p>
      <w:r>
        <w:t>Geographic lens: Canadian electrical industry, with a Saskatchewan perspective where relevant. Do not imply that regional requirements apply everywhere.</w:t>
      </w:r>
    </w:p>
    <w:p>
      <w:pPr>
        <w:pStyle w:val="Heading1"/>
      </w:pPr>
      <w:r>
        <w:t>03  Voice and tone</w:t>
      </w:r>
    </w:p>
    <w:tbl>
      <w:tblPr>
        <w:tblStyle w:val="LightShading-Accent1"/>
        <w:tblW w:type="auto" w:w="0"/>
        <w:tblLook w:firstColumn="1" w:firstRow="1" w:lastColumn="0" w:lastRow="0" w:noHBand="0" w:noVBand="1" w:val="04A0"/>
      </w:tblPr>
      <w:tblGrid>
        <w:gridCol w:w="4896"/>
        <w:gridCol w:w="4896"/>
      </w:tblGrid>
      <w:tr>
        <w:tc>
          <w:tcPr>
            <w:tcW w:type="dxa" w:w="4896"/>
          </w:tcPr>
          <w:p>
            <w:r>
              <w:t>Do</w:t>
            </w:r>
          </w:p>
        </w:tc>
        <w:tc>
          <w:tcPr>
            <w:tcW w:type="dxa" w:w="4896"/>
          </w:tcPr>
          <w:p>
            <w:r>
              <w:t>Avoid</w:t>
            </w:r>
          </w:p>
        </w:tc>
      </w:tr>
      <w:tr>
        <w:tc>
          <w:tcPr>
            <w:tcW w:type="dxa" w:w="4896"/>
          </w:tcPr>
          <w:p>
            <w:r>
              <w:t>Write like a knowledgeable colleague across the counter</w:t>
            </w:r>
          </w:p>
        </w:tc>
        <w:tc>
          <w:tcPr>
            <w:tcW w:type="dxa" w:w="4896"/>
          </w:tcPr>
          <w:p>
            <w:r>
              <w:t>Sounding like a corporate product brochure</w:t>
            </w:r>
          </w:p>
        </w:tc>
      </w:tr>
      <w:tr>
        <w:tc>
          <w:tcPr>
            <w:tcW w:type="dxa" w:w="4896"/>
          </w:tcPr>
          <w:p>
            <w:r>
              <w:t>Explain why a technical detail matters</w:t>
            </w:r>
          </w:p>
        </w:tc>
        <w:tc>
          <w:tcPr>
            <w:tcW w:type="dxa" w:w="4896"/>
          </w:tcPr>
          <w:p>
            <w:r>
              <w:t>Dumping specifications without context</w:t>
            </w:r>
          </w:p>
        </w:tc>
      </w:tr>
      <w:tr>
        <w:tc>
          <w:tcPr>
            <w:tcW w:type="dxa" w:w="4896"/>
          </w:tcPr>
          <w:p>
            <w:r>
              <w:t>Use dry humour sparingly and naturally</w:t>
            </w:r>
          </w:p>
        </w:tc>
        <w:tc>
          <w:tcPr>
            <w:tcW w:type="dxa" w:w="4896"/>
          </w:tcPr>
          <w:p>
            <w:r>
              <w:t>Forcing puns or sarcasm into every paragraph</w:t>
            </w:r>
          </w:p>
        </w:tc>
      </w:tr>
      <w:tr>
        <w:tc>
          <w:tcPr>
            <w:tcW w:type="dxa" w:w="4896"/>
          </w:tcPr>
          <w:p>
            <w:r>
              <w:t>Be confident but willing to qualify claims</w:t>
            </w:r>
          </w:p>
        </w:tc>
        <w:tc>
          <w:tcPr>
            <w:tcW w:type="dxa" w:w="4896"/>
          </w:tcPr>
          <w:p>
            <w:r>
              <w:t>Overstating performance, savings or compliance</w:t>
            </w:r>
          </w:p>
        </w:tc>
      </w:tr>
      <w:tr>
        <w:tc>
          <w:tcPr>
            <w:tcW w:type="dxa" w:w="4896"/>
          </w:tcPr>
          <w:p>
            <w:r>
              <w:t>Use Canadian spelling and terminology</w:t>
            </w:r>
          </w:p>
        </w:tc>
        <w:tc>
          <w:tcPr>
            <w:tcW w:type="dxa" w:w="4896"/>
          </w:tcPr>
          <w:p>
            <w:r>
              <w:t>Uncritically importing US code language</w:t>
            </w:r>
          </w:p>
        </w:tc>
      </w:tr>
    </w:tbl>
    <w:p>
      <w:pPr>
        <w:pStyle w:val="Heading2"/>
      </w:pPr>
      <w:r>
        <w:t>Writing formula</w:t>
      </w:r>
    </w:p>
    <w:p>
      <w:r>
        <w:t>Lead with a relatable problem → explain the technical idea → show the real-world consequence → offer a practical next step → end with one relevant CTA. Aim for roughly 80% useful information and 20% personality.</w:t>
      </w:r>
    </w:p>
    <w:p>
      <w:pPr>
        <w:pStyle w:val="Heading2"/>
      </w:pPr>
      <w:r>
        <w:t>Signature language</w:t>
      </w:r>
    </w:p>
    <w:p>
      <w:pPr>
        <w:pStyle w:val="ListBullet"/>
      </w:pPr>
      <w:r>
        <w:t>“Let’s break it down.”</w:t>
      </w:r>
    </w:p>
    <w:p>
      <w:pPr>
        <w:pStyle w:val="ListBullet"/>
      </w:pPr>
      <w:r>
        <w:t>“Here’s what you need to know.”</w:t>
      </w:r>
    </w:p>
    <w:p>
      <w:pPr>
        <w:pStyle w:val="ListBullet"/>
      </w:pPr>
      <w:r>
        <w:t>“What does this mean for contractors?”</w:t>
      </w:r>
    </w:p>
    <w:p>
      <w:pPr>
        <w:pStyle w:val="ListBullet"/>
      </w:pPr>
      <w:r>
        <w:t>“From the jobsite to the distribution counter.”</w:t>
      </w:r>
    </w:p>
    <w:p>
      <w:pPr>
        <w:pStyle w:val="ListBullet"/>
      </w:pPr>
      <w:r>
        <w:t>“Less jargon. More solutions.”</w:t>
      </w:r>
    </w:p>
    <w:p>
      <w:pPr>
        <w:pStyle w:val="ListBullet"/>
      </w:pPr>
      <w:r>
        <w:t>“Stay connected. Stay curious. Stay Current.”</w:t>
      </w:r>
    </w:p>
    <w:p>
      <w:pPr>
        <w:pStyle w:val="Heading2"/>
      </w:pPr>
      <w:r>
        <w:t>Phrases to avoid</w:t>
      </w:r>
    </w:p>
    <w:p>
      <w:r>
        <w:t>Synergy; leverage our expertise; paradigm shift; game-changing; revolutionary; best-in-class; world-class; seamless integration (without specifics); unlock your potential; delve into; in today’s fast-paced world; the ultimate solution; guaranteed savings; 100% safe; code-approved everywhere; works with everything.</w:t>
      </w:r>
    </w:p>
    <w:p>
      <w:pPr>
        <w:pStyle w:val="Heading2"/>
      </w:pPr>
      <w:r>
        <w:t>Humour guardrails</w:t>
      </w:r>
    </w:p>
    <w:p>
      <w:r>
        <w:t>Prefer observational humour about work, products, paperwork or complexity. Never mock safety, accidents, apprentices, customers, or people asking basic questions. Avoid using electrical puns as filler.</w:t>
      </w:r>
    </w:p>
    <w:p>
      <w:pPr>
        <w:pStyle w:val="Heading1"/>
      </w:pPr>
      <w:r>
        <w:t>04  Content pillars</w:t>
      </w:r>
    </w:p>
    <w:tbl>
      <w:tblPr>
        <w:tblStyle w:val="LightShading-Accent1"/>
        <w:tblW w:type="auto" w:w="0"/>
        <w:tblLook w:firstColumn="1" w:firstRow="1" w:lastColumn="0" w:lastRow="0" w:noHBand="0" w:noVBand="1" w:val="04A0"/>
      </w:tblPr>
      <w:tblGrid>
        <w:gridCol w:w="3264"/>
        <w:gridCol w:w="3264"/>
        <w:gridCol w:w="3264"/>
      </w:tblGrid>
      <w:tr>
        <w:tc>
          <w:tcPr>
            <w:tcW w:type="dxa" w:w="3264"/>
          </w:tcPr>
          <w:p>
            <w:r>
              <w:t>Pillar</w:t>
            </w:r>
          </w:p>
        </w:tc>
        <w:tc>
          <w:tcPr>
            <w:tcW w:type="dxa" w:w="3264"/>
          </w:tcPr>
          <w:p>
            <w:r>
              <w:t>Editorial purpose</w:t>
            </w:r>
          </w:p>
        </w:tc>
        <w:tc>
          <w:tcPr>
            <w:tcW w:type="dxa" w:w="3264"/>
          </w:tcPr>
          <w:p>
            <w:r>
              <w:t>Starting mix</w:t>
            </w:r>
          </w:p>
        </w:tc>
      </w:tr>
      <w:tr>
        <w:tc>
          <w:tcPr>
            <w:tcW w:type="dxa" w:w="3264"/>
          </w:tcPr>
          <w:p>
            <w:r>
              <w:t>Electrical Education &amp; Safety</w:t>
            </w:r>
          </w:p>
        </w:tc>
        <w:tc>
          <w:tcPr>
            <w:tcW w:type="dxa" w:w="3264"/>
          </w:tcPr>
          <w:p>
            <w:r>
              <w:t>Explain fundamentals, safety and code considerations</w:t>
            </w:r>
          </w:p>
        </w:tc>
        <w:tc>
          <w:tcPr>
            <w:tcW w:type="dxa" w:w="3264"/>
          </w:tcPr>
          <w:p>
            <w:r>
              <w:t>25%</w:t>
            </w:r>
          </w:p>
        </w:tc>
      </w:tr>
      <w:tr>
        <w:tc>
          <w:tcPr>
            <w:tcW w:type="dxa" w:w="3264"/>
          </w:tcPr>
          <w:p>
            <w:r>
              <w:t>Products, Technology &amp; Innovation</w:t>
            </w:r>
          </w:p>
        </w:tc>
        <w:tc>
          <w:tcPr>
            <w:tcW w:type="dxa" w:w="3264"/>
          </w:tcPr>
          <w:p>
            <w:r>
              <w:t>Explore lighting, controls, EV, solar and new solutions</w:t>
            </w:r>
          </w:p>
        </w:tc>
        <w:tc>
          <w:tcPr>
            <w:tcW w:type="dxa" w:w="3264"/>
          </w:tcPr>
          <w:p>
            <w:r>
              <w:t>20%</w:t>
            </w:r>
          </w:p>
        </w:tc>
      </w:tr>
      <w:tr>
        <w:tc>
          <w:tcPr>
            <w:tcW w:type="dxa" w:w="3264"/>
          </w:tcPr>
          <w:p>
            <w:r>
              <w:t>Industry Insights &amp; Trends</w:t>
            </w:r>
          </w:p>
        </w:tc>
        <w:tc>
          <w:tcPr>
            <w:tcW w:type="dxa" w:w="3264"/>
          </w:tcPr>
          <w:p>
            <w:r>
              <w:t>Interpret Canadian market and manufacturer changes</w:t>
            </w:r>
          </w:p>
        </w:tc>
        <w:tc>
          <w:tcPr>
            <w:tcW w:type="dxa" w:w="3264"/>
          </w:tcPr>
          <w:p>
            <w:r>
              <w:t>20%</w:t>
            </w:r>
          </w:p>
        </w:tc>
      </w:tr>
      <w:tr>
        <w:tc>
          <w:tcPr>
            <w:tcW w:type="dxa" w:w="3264"/>
          </w:tcPr>
          <w:p>
            <w:r>
              <w:t>Practical Tools &amp; Resources</w:t>
            </w:r>
          </w:p>
        </w:tc>
        <w:tc>
          <w:tcPr>
            <w:tcW w:type="dxa" w:w="3264"/>
          </w:tcPr>
          <w:p>
            <w:r>
              <w:t>Share checklists, calculators and project worksheets</w:t>
            </w:r>
          </w:p>
        </w:tc>
        <w:tc>
          <w:tcPr>
            <w:tcW w:type="dxa" w:w="3264"/>
          </w:tcPr>
          <w:p>
            <w:r>
              <w:t>15%</w:t>
            </w:r>
          </w:p>
        </w:tc>
      </w:tr>
      <w:tr>
        <w:tc>
          <w:tcPr>
            <w:tcW w:type="dxa" w:w="3264"/>
          </w:tcPr>
          <w:p>
            <w:r>
              <w:t>Contractor &amp; Industry Community</w:t>
            </w:r>
          </w:p>
        </w:tc>
        <w:tc>
          <w:tcPr>
            <w:tcW w:type="dxa" w:w="3264"/>
          </w:tcPr>
          <w:p>
            <w:r>
              <w:t>Feature people, firms and projects</w:t>
            </w:r>
          </w:p>
        </w:tc>
        <w:tc>
          <w:tcPr>
            <w:tcW w:type="dxa" w:w="3264"/>
          </w:tcPr>
          <w:p>
            <w:r>
              <w:t>10%</w:t>
            </w:r>
          </w:p>
        </w:tc>
      </w:tr>
      <w:tr>
        <w:tc>
          <w:tcPr>
            <w:tcW w:type="dxa" w:w="3264"/>
          </w:tcPr>
          <w:p>
            <w:r>
              <w:t>Real-World Experience &amp; Perspective</w:t>
            </w:r>
          </w:p>
        </w:tc>
        <w:tc>
          <w:tcPr>
            <w:tcW w:type="dxa" w:w="3264"/>
          </w:tcPr>
          <w:p>
            <w:r>
              <w:t>Share candid jobsite and distribution lessons</w:t>
            </w:r>
          </w:p>
        </w:tc>
        <w:tc>
          <w:tcPr>
            <w:tcW w:type="dxa" w:w="3264"/>
          </w:tcPr>
          <w:p>
            <w:r>
              <w:t>10%</w:t>
            </w:r>
          </w:p>
        </w:tc>
      </w:tr>
    </w:tbl>
    <w:p>
      <w:r>
        <w:t>These percentages are planning targets, not measured audience behaviour. Revisit quarterly.</w:t>
      </w:r>
    </w:p>
    <w:p>
      <w:pPr>
        <w:pStyle w:val="Heading1"/>
      </w:pPr>
      <w:r>
        <w:t>05  Calls to action</w:t>
      </w:r>
    </w:p>
    <w:tbl>
      <w:tblPr>
        <w:tblStyle w:val="LightShading-Accent1"/>
        <w:tblW w:type="auto" w:w="0"/>
        <w:tblLook w:firstColumn="1" w:firstRow="1" w:lastColumn="0" w:lastRow="0" w:noHBand="0" w:noVBand="1" w:val="04A0"/>
      </w:tblPr>
      <w:tblGrid>
        <w:gridCol w:w="4896"/>
        <w:gridCol w:w="4896"/>
      </w:tblGrid>
      <w:tr>
        <w:tc>
          <w:tcPr>
            <w:tcW w:type="dxa" w:w="4896"/>
          </w:tcPr>
          <w:p>
            <w:r>
              <w:t>Goal</w:t>
            </w:r>
          </w:p>
        </w:tc>
        <w:tc>
          <w:tcPr>
            <w:tcW w:type="dxa" w:w="4896"/>
          </w:tcPr>
          <w:p>
            <w:r>
              <w:t>Preferred examples</w:t>
            </w:r>
          </w:p>
        </w:tc>
      </w:tr>
      <w:tr>
        <w:tc>
          <w:tcPr>
            <w:tcW w:type="dxa" w:w="4896"/>
          </w:tcPr>
          <w:p>
            <w:r>
              <w:t>Article traffic</w:t>
            </w:r>
          </w:p>
        </w:tc>
        <w:tc>
          <w:tcPr>
            <w:tcW w:type="dxa" w:w="4896"/>
          </w:tcPr>
          <w:p>
            <w:r>
              <w:t>“Read the full breakdown on The Current.” / “See what this means for your next project.”</w:t>
            </w:r>
          </w:p>
        </w:tc>
      </w:tr>
      <w:tr>
        <w:tc>
          <w:tcPr>
            <w:tcW w:type="dxa" w:w="4896"/>
          </w:tcPr>
          <w:p>
            <w:r>
              <w:t>Discussion</w:t>
            </w:r>
          </w:p>
        </w:tc>
        <w:tc>
          <w:tcPr>
            <w:tcW w:type="dxa" w:w="4896"/>
          </w:tcPr>
          <w:p>
            <w:r>
              <w:t>“Contractors, how are you handling this?” / “What’s your experience been?”</w:t>
            </w:r>
          </w:p>
        </w:tc>
      </w:tr>
      <w:tr>
        <w:tc>
          <w:tcPr>
            <w:tcW w:type="dxa" w:w="4896"/>
          </w:tcPr>
          <w:p>
            <w:r>
              <w:t>Resources</w:t>
            </w:r>
          </w:p>
        </w:tc>
        <w:tc>
          <w:tcPr>
            <w:tcW w:type="dxa" w:w="4896"/>
          </w:tcPr>
          <w:p>
            <w:r>
              <w:t>“Download the checklist before your next project.” / “Put the numbers to work.”</w:t>
            </w:r>
          </w:p>
        </w:tc>
      </w:tr>
      <w:tr>
        <w:tc>
          <w:tcPr>
            <w:tcW w:type="dxa" w:w="4896"/>
          </w:tcPr>
          <w:p>
            <w:r>
              <w:t>Community</w:t>
            </w:r>
          </w:p>
        </w:tc>
        <w:tc>
          <w:tcPr>
            <w:tcW w:type="dxa" w:w="4896"/>
          </w:tcPr>
          <w:p>
            <w:r>
              <w:t>“Have a project worth showcasing?” / “Join our contractor directory.”</w:t>
            </w:r>
          </w:p>
        </w:tc>
      </w:tr>
      <w:tr>
        <w:tc>
          <w:tcPr>
            <w:tcW w:type="dxa" w:w="4896"/>
          </w:tcPr>
          <w:p>
            <w:r>
              <w:t>Newsletter</w:t>
            </w:r>
          </w:p>
        </w:tc>
        <w:tc>
          <w:tcPr>
            <w:tcW w:type="dxa" w:w="4896"/>
          </w:tcPr>
          <w:p>
            <w:r>
              <w:t>“Get practical electrical insights in your inbox.” / “Stay Current.”</w:t>
            </w:r>
          </w:p>
        </w:tc>
      </w:tr>
    </w:tbl>
    <w:p>
      <w:r>
        <w:t>Use one primary CTA per post. Avoid artificial urgency, engagement bait and repetitive “buy now” language.</w:t>
      </w:r>
    </w:p>
    <w:p>
      <w:pPr>
        <w:pStyle w:val="Heading1"/>
      </w:pPr>
      <w:r>
        <w:t>06  Visual identity direction</w:t>
      </w:r>
    </w:p>
    <w:p>
      <w:pPr>
        <w:pStyle w:val="Heading2"/>
      </w:pPr>
      <w:r>
        <w:t>Look and feel</w:t>
      </w:r>
    </w:p>
    <w:p>
      <w:r>
        <w:t>Modern-retro editorial identity with restrained post-modern character. Balance distinctive typography and electrical symbolism with clean, readable layouts. Industrial cues should feel authentic, not cluttered.</w:t>
      </w:r>
    </w:p>
    <w:p>
      <w:pPr>
        <w:pStyle w:val="Heading2"/>
      </w:pPr>
      <w:r>
        <w:t>Logo usage</w:t>
      </w:r>
    </w:p>
    <w:p>
      <w:pPr>
        <w:pStyle w:val="ListBullet"/>
      </w:pPr>
      <w:r>
        <w:t>Use the approved The Current master logo and badge variations; retain the cord/electrical symbolism established in the design direction.</w:t>
      </w:r>
    </w:p>
    <w:p>
      <w:pPr>
        <w:pStyle w:val="ListBullet"/>
      </w:pPr>
      <w:r>
        <w:t>Preserve clear space around the mark and keep it legible at mobile sizes.</w:t>
      </w:r>
    </w:p>
    <w:p>
      <w:pPr>
        <w:pStyle w:val="ListBullet"/>
      </w:pPr>
      <w:r>
        <w:t>Do not stretch, distort, recolour arbitrarily, add extra rings, or overlay busy photography without contrast.</w:t>
      </w:r>
    </w:p>
    <w:p>
      <w:pPr>
        <w:pStyle w:val="ListBullet"/>
      </w:pPr>
      <w:r>
        <w:t>Final logo files, exact exclusion zone and minimum sizes remain to be documented from approved artwork.</w:t>
      </w:r>
    </w:p>
    <w:p>
      <w:pPr>
        <w:pStyle w:val="Heading2"/>
      </w:pPr>
      <w:r>
        <w:t>Typography</w:t>
      </w:r>
    </w:p>
    <w:tbl>
      <w:tblPr>
        <w:tblStyle w:val="LightShading-Accent1"/>
        <w:tblW w:type="auto" w:w="0"/>
        <w:tblLook w:firstColumn="1" w:firstRow="1" w:lastColumn="0" w:lastRow="0" w:noHBand="0" w:noVBand="1" w:val="04A0"/>
      </w:tblPr>
      <w:tblGrid>
        <w:gridCol w:w="4896"/>
        <w:gridCol w:w="4896"/>
      </w:tblGrid>
      <w:tr>
        <w:tc>
          <w:tcPr>
            <w:tcW w:type="dxa" w:w="4896"/>
          </w:tcPr>
          <w:p>
            <w:r>
              <w:t>Role</w:t>
            </w:r>
          </w:p>
        </w:tc>
        <w:tc>
          <w:tcPr>
            <w:tcW w:type="dxa" w:w="4896"/>
          </w:tcPr>
          <w:p>
            <w:r>
              <w:t>Typeface</w:t>
            </w:r>
          </w:p>
        </w:tc>
      </w:tr>
      <w:tr>
        <w:tc>
          <w:tcPr>
            <w:tcW w:type="dxa" w:w="4896"/>
          </w:tcPr>
          <w:p>
            <w:r>
              <w:t>Editorial headlines / feature titles</w:t>
            </w:r>
          </w:p>
        </w:tc>
        <w:tc>
          <w:tcPr>
            <w:tcW w:type="dxa" w:w="4896"/>
          </w:tcPr>
          <w:p>
            <w:r>
              <w:t>DM Serif Display</w:t>
            </w:r>
          </w:p>
        </w:tc>
      </w:tr>
      <w:tr>
        <w:tc>
          <w:tcPr>
            <w:tcW w:type="dxa" w:w="4896"/>
          </w:tcPr>
          <w:p>
            <w:r>
              <w:t>Body copy, interface, navigation, captions</w:t>
            </w:r>
          </w:p>
        </w:tc>
        <w:tc>
          <w:tcPr>
            <w:tcW w:type="dxa" w:w="4896"/>
          </w:tcPr>
          <w:p>
            <w:r>
              <w:t>DM Sans</w:t>
            </w:r>
          </w:p>
        </w:tc>
      </w:tr>
      <w:tr>
        <w:tc>
          <w:tcPr>
            <w:tcW w:type="dxa" w:w="4896"/>
          </w:tcPr>
          <w:p>
            <w:r>
              <w:t>Rule</w:t>
            </w:r>
          </w:p>
        </w:tc>
        <w:tc>
          <w:tcPr>
            <w:tcW w:type="dxa" w:w="4896"/>
          </w:tcPr>
          <w:p>
            <w:r>
              <w:t>Do not substitute Inter as the default brand font</w:t>
            </w:r>
          </w:p>
        </w:tc>
      </w:tr>
    </w:tbl>
    <w:p>
      <w:pPr>
        <w:pStyle w:val="Heading2"/>
      </w:pPr>
      <w:r>
        <w:t>Colour system — provisional</w:t>
      </w:r>
    </w:p>
    <w:p>
      <w:r>
        <w:t>Working art direction: warm off-white backgrounds, deep charcoal text, restrained burnt-orange/copper accents and neutral borders. These are visual guidance only; exact brand HEX/RGB/CMYK values should be sampled and approved from the final logo artwork before being treated as official.</w:t>
      </w:r>
    </w:p>
    <w:p>
      <w:pPr>
        <w:pStyle w:val="Heading2"/>
      </w:pPr>
      <w:r>
        <w:t>Imagery</w:t>
      </w:r>
    </w:p>
    <w:p>
      <w:pPr>
        <w:pStyle w:val="ListBullet"/>
      </w:pPr>
      <w:r>
        <w:t>Prefer authentic electrical work, lighting, controls, products, people and project environments.</w:t>
      </w:r>
    </w:p>
    <w:p>
      <w:pPr>
        <w:pStyle w:val="ListBullet"/>
      </w:pPr>
      <w:r>
        <w:t>Mix documentary photography with bold editorial crops and selective retro graphic elements.</w:t>
      </w:r>
    </w:p>
    <w:p>
      <w:pPr>
        <w:pStyle w:val="ListBullet"/>
      </w:pPr>
      <w:r>
        <w:t>Show safe, plausible electrical practices; do not use misleading or unsafe installation imagery.</w:t>
      </w:r>
    </w:p>
    <w:p>
      <w:pPr>
        <w:pStyle w:val="ListBullet"/>
      </w:pPr>
      <w:r>
        <w:t>Use clear alt text, strong contrast and accessible type sizes.</w:t>
      </w:r>
    </w:p>
    <w:p>
      <w:pPr>
        <w:pStyle w:val="Heading1"/>
      </w:pPr>
      <w:r>
        <w:t>07  Editorial and technical standards</w:t>
      </w:r>
    </w:p>
    <w:p>
      <w:pPr>
        <w:pStyle w:val="ListBullet"/>
      </w:pPr>
      <w:r>
        <w:t>Verify product specifications, compatibility and availability against current manufacturer documentation.</w:t>
      </w:r>
    </w:p>
    <w:p>
      <w:pPr>
        <w:pStyle w:val="ListBullet"/>
      </w:pPr>
      <w:r>
        <w:t>Distinguish Canadian Electrical Code guidance from provincial adoption, utility requirements and local authority interpretations.</w:t>
      </w:r>
    </w:p>
    <w:p>
      <w:pPr>
        <w:pStyle w:val="ListBullet"/>
      </w:pPr>
      <w:r>
        <w:t>Do not give universal compliance assurances; encourage qualified professional assessment when warranted.</w:t>
      </w:r>
    </w:p>
    <w:p>
      <w:pPr>
        <w:pStyle w:val="ListBullet"/>
      </w:pPr>
      <w:r>
        <w:t>Separate editorial opinion from paid promotion, sponsorship or affiliate relationships; disclose material connections.</w:t>
      </w:r>
    </w:p>
    <w:p>
      <w:pPr>
        <w:pStyle w:val="ListBullet"/>
      </w:pPr>
      <w:r>
        <w:t>Use descriptive, search-friendly headlines without clickbait; cite primary sources for technical or time-sensitive claims.</w:t>
      </w:r>
    </w:p>
    <w:p>
      <w:pPr>
        <w:pStyle w:val="ListBullet"/>
      </w:pPr>
      <w:r>
        <w:t>Proofread Canadian spelling, product model names, units and links before publishing.</w:t>
      </w:r>
    </w:p>
    <w:p>
      <w:pPr>
        <w:pStyle w:val="Heading1"/>
      </w:pPr>
      <w:r>
        <w:t>08  SocialBee publishing playbook</w:t>
      </w:r>
    </w:p>
    <w:p>
      <w:pPr>
        <w:pStyle w:val="Heading2"/>
      </w:pPr>
      <w:r>
        <w:t>Category setup</w:t>
      </w:r>
    </w:p>
    <w:p>
      <w:r>
        <w:t>Use six categories corresponding to the six content pillars. Optionally add a separate time-limited Announcements &amp; Promotions category for events, collaborations and launches.</w:t>
      </w:r>
    </w:p>
    <w:p>
      <w:pPr>
        <w:pStyle w:val="Heading2"/>
      </w:pPr>
      <w:r>
        <w:t>Suggested cadence</w:t>
      </w:r>
    </w:p>
    <w:p>
      <w:r>
        <w:t>Begin with 3–5 social posts weekly while publishing approximately one new blog article weekly. Repackage each article as a summary, a practical tip, a discussion question and—when appropriate—a resource post.</w:t>
      </w:r>
    </w:p>
    <w:p>
      <w:pPr>
        <w:pStyle w:val="Heading2"/>
      </w:pPr>
      <w:r>
        <w:t>Recycling rules</w:t>
      </w:r>
    </w:p>
    <w:p>
      <w:pPr>
        <w:pStyle w:val="ListBullet"/>
      </w:pPr>
      <w:r>
        <w:t>Evergreen: foundational education, stable guides and tools; review before re-queuing.</w:t>
      </w:r>
    </w:p>
    <w:p>
      <w:pPr>
        <w:pStyle w:val="ListBullet"/>
      </w:pPr>
      <w:r>
        <w:t>Time-sensitive: industry news, product launches, dates and events; publish once or set expiry.</w:t>
      </w:r>
    </w:p>
    <w:p>
      <w:pPr>
        <w:pStyle w:val="ListBullet"/>
      </w:pPr>
      <w:r>
        <w:t>Community spotlights: reuse selectively with permission and current details.</w:t>
      </w:r>
    </w:p>
    <w:p>
      <w:pPr>
        <w:pStyle w:val="ListBullet"/>
      </w:pPr>
      <w:r>
        <w:t>Rotate CTAs and openings to avoid repetitive feeds.</w:t>
      </w:r>
    </w:p>
    <w:p>
      <w:pPr>
        <w:pStyle w:val="Heading2"/>
      </w:pPr>
      <w:r>
        <w:t>Example social caption</w:t>
      </w:r>
    </w:p>
    <w:p>
      <w:r>
        <w:t>Your smart lighting system should make life easier—not require a support ticket every time you want to dim the kitchen. We break down where Lutron Caséta, RadioRA 3 and HomeWorks fit, and what contractors should check before specifying controls. Read the full breakdown on The Current.</w:t>
      </w:r>
    </w:p>
    <w:p>
      <w:pPr>
        <w:pStyle w:val="Heading1"/>
      </w:pPr>
      <w:r>
        <w:t>09  Pre-publish checklist</w:t>
      </w:r>
    </w:p>
    <w:p>
      <w:pPr>
        <w:pStyle w:val="ListBullet"/>
      </w:pPr>
      <w:r>
        <w:t>Does the piece help a clearly defined reader?</w:t>
      </w:r>
    </w:p>
    <w:p>
      <w:pPr>
        <w:pStyle w:val="ListBullet"/>
      </w:pPr>
      <w:r>
        <w:t>Is the technical information correct and appropriately qualified?</w:t>
      </w:r>
    </w:p>
    <w:p>
      <w:pPr>
        <w:pStyle w:val="ListBullet"/>
      </w:pPr>
      <w:r>
        <w:t>Is the headline accurate and interesting?</w:t>
      </w:r>
    </w:p>
    <w:p>
      <w:pPr>
        <w:pStyle w:val="ListBullet"/>
      </w:pPr>
      <w:r>
        <w:t>Is the humour natural and respectful?</w:t>
      </w:r>
    </w:p>
    <w:p>
      <w:pPr>
        <w:pStyle w:val="ListBullet"/>
      </w:pPr>
      <w:r>
        <w:t>Are Canadian context and terminology correct?</w:t>
      </w:r>
    </w:p>
    <w:p>
      <w:pPr>
        <w:pStyle w:val="ListBullet"/>
      </w:pPr>
      <w:r>
        <w:t>Are imagery, typography and logo use on-brand?</w:t>
      </w:r>
    </w:p>
    <w:p>
      <w:pPr>
        <w:pStyle w:val="ListBullet"/>
      </w:pPr>
      <w:r>
        <w:t>Is there one useful, relevant CTA?</w:t>
      </w:r>
    </w:p>
    <w:p>
      <w:pPr>
        <w:pStyle w:val="ListBullet"/>
      </w:pPr>
      <w:r>
        <w:t>Have links, disclosures, SEO description and accessibility been checked?</w:t>
      </w:r>
    </w:p>
    <w:p>
      <w:pPr>
        <w:pStyle w:val="Heading1"/>
      </w:pPr>
      <w:r>
        <w:t>10  Items to finalize in v1.1</w:t>
      </w:r>
    </w:p>
    <w:p>
      <w:pPr>
        <w:pStyle w:val="ListBullet"/>
      </w:pPr>
      <w:r>
        <w:t>Insert approved master logo and alternate lockups.</w:t>
      </w:r>
    </w:p>
    <w:p>
      <w:pPr>
        <w:pStyle w:val="ListBullet"/>
      </w:pPr>
      <w:r>
        <w:t>Confirm official brand palette and HEX / RGB / CMYK values.</w:t>
      </w:r>
    </w:p>
    <w:p>
      <w:pPr>
        <w:pStyle w:val="ListBullet"/>
      </w:pPr>
      <w:r>
        <w:t>Add logo clear-space, minimum-size and incorrect-use examples.</w:t>
      </w:r>
    </w:p>
    <w:p>
      <w:pPr>
        <w:pStyle w:val="ListBullet"/>
      </w:pPr>
      <w:r>
        <w:t>Approve social post templates and featured-image dimensions.</w:t>
      </w:r>
    </w:p>
    <w:p>
      <w:pPr>
        <w:pStyle w:val="ListBullet"/>
      </w:pPr>
      <w:r>
        <w:t>Confirm final site tagline and document ownership/review cadence.</w:t>
      </w:r>
    </w:p>
    <w:p>
      <w:r>
        <w:t>Internal working document • The Current • October 2026</w:t>
      </w:r>
    </w:p>
    <w:sectPr w:rsidR="00FC693F" w:rsidRPr="0006063C" w:rsidSect="00034616">
      <w:headerReference w:type="default" r:id="rId9"/>
      <w:footerReference w:type="default" r:id="rId10"/>
      <w:pgSz w:w="12240" w:h="15840"/>
      <w:pgMar w:top="1123"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The Current  •  Brand Guidelines v1.0  •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AC5C2D"/>
      </w:rPr>
      <w:t>THE CURRENT  /  BRAND SYSTEM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DM Sans" w:hAnsi="DM San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DM Serif Display" w:hAnsi="DM Serif Display"/>
      <w:b/>
      <w:bCs/>
      <w:color w:val="242D2D"/>
      <w:sz w:val="34"/>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DM Sans" w:hAnsi="DM Sans"/>
      <w:b/>
      <w:bCs/>
      <w:color w:val="242D2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60"/>
      <w:contextualSpacing/>
    </w:pPr>
    <w:rPr>
      <w:rFonts w:asciiTheme="majorHAnsi" w:eastAsiaTheme="majorEastAsia" w:hAnsiTheme="majorHAnsi" w:cstheme="majorBidi" w:ascii="DM Serif Display" w:hAnsi="DM Serif Display"/>
      <w:color w:val="242D2D"/>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